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8"/>
          <w:szCs w:val="48"/>
        </w:rPr>
      </w:pPr>
      <w:r w:rsidDel="00000000" w:rsidR="00000000" w:rsidRPr="00000000">
        <w:rPr>
          <w:sz w:val="48"/>
          <w:szCs w:val="48"/>
          <w:rtl w:val="0"/>
        </w:rPr>
        <w:t xml:space="preserve">Linda Purvis</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33 Friendship Rd, Euharlee, GA 30145 | 470.774.3484 | purvis.lin@gmail.com | lindapurvis.com</w:t>
      </w:r>
    </w:p>
    <w:p w:rsidR="00000000" w:rsidDel="00000000" w:rsidP="00000000" w:rsidRDefault="00000000" w:rsidRPr="00000000" w14:paraId="00000003">
      <w:pPr>
        <w:pStyle w:val="Heading1"/>
        <w:rPr>
          <w:sz w:val="30"/>
          <w:szCs w:val="30"/>
        </w:rPr>
      </w:pPr>
      <w:r w:rsidDel="00000000" w:rsidR="00000000" w:rsidRPr="00000000">
        <w:rPr>
          <w:sz w:val="30"/>
          <w:szCs w:val="30"/>
          <w:rtl w:val="0"/>
        </w:rPr>
        <w:t xml:space="preserve">Professional Summary</w:t>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Communications and digital media specialist with 20+ years of experience supporting federal, local government, and nonprofit organizations. Expertise includes social media management, digital content creation, graphic design, video editing, website platform management, and email communications.</w:t>
        <w:br w:type="textWrapping"/>
        <w:br w:type="textWrapping"/>
        <w:t xml:space="preserve">Experienced in managing projects from concept through delivery, coordinating across teams and stakeholders, and producing clear, public-facing content from complex information. I manage and produce content across social platforms, websites, and email campaigns while maintaining consistency, accuracy, and deadlines in fast-paced environments.</w:t>
      </w:r>
    </w:p>
    <w:p w:rsidR="00000000" w:rsidDel="00000000" w:rsidP="00000000" w:rsidRDefault="00000000" w:rsidRPr="00000000" w14:paraId="00000005">
      <w:pPr>
        <w:pStyle w:val="Heading1"/>
        <w:rPr>
          <w:sz w:val="30"/>
          <w:szCs w:val="30"/>
        </w:rPr>
      </w:pPr>
      <w:r w:rsidDel="00000000" w:rsidR="00000000" w:rsidRPr="00000000">
        <w:rPr>
          <w:sz w:val="30"/>
          <w:szCs w:val="30"/>
          <w:rtl w:val="0"/>
        </w:rPr>
        <w:t xml:space="preserve">Core Skills</w:t>
      </w:r>
    </w:p>
    <w:p w:rsidR="00000000" w:rsidDel="00000000" w:rsidP="00000000" w:rsidRDefault="00000000" w:rsidRPr="00000000" w14:paraId="00000006">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Communications &amp; Content</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sz w:val="24"/>
          <w:szCs w:val="24"/>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Social media management (Facebook, Instagram, X, LinkedIn, YouTube)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sz w:val="24"/>
          <w:szCs w:val="24"/>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Digital content creation (graphics, messaging, video)</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sz w:val="24"/>
          <w:szCs w:val="24"/>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Public outreach and communications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sz w:val="24"/>
          <w:szCs w:val="24"/>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Content planning and publishing</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sz w:val="24"/>
          <w:szCs w:val="24"/>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Email campaigns and newsletters</w:t>
      </w:r>
    </w:p>
    <w:p w:rsidR="00000000" w:rsidDel="00000000" w:rsidP="00000000" w:rsidRDefault="00000000" w:rsidRPr="00000000" w14:paraId="0000000C">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Design &amp; Media</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sz w:val="24"/>
          <w:szCs w:val="24"/>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Adobe Creative Suite</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sz w:val="24"/>
          <w:szCs w:val="24"/>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Adobe Express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sz w:val="24"/>
          <w:szCs w:val="24"/>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Canva</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sz w:val="24"/>
          <w:szCs w:val="24"/>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Video editing and content production</w:t>
      </w:r>
    </w:p>
    <w:p w:rsidR="00000000" w:rsidDel="00000000" w:rsidP="00000000" w:rsidRDefault="00000000" w:rsidRPr="00000000" w14:paraId="00000011">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Platforms &amp; Tools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sz w:val="24"/>
          <w:szCs w:val="24"/>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WordPress, Webflow, Squarespace, GoHighLevel</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sz w:val="24"/>
          <w:szCs w:val="24"/>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Mailchimp, iContact, MailerLite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sz w:val="24"/>
          <w:szCs w:val="24"/>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Sprinklr, Metricool, SocialBu</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sz w:val="24"/>
          <w:szCs w:val="24"/>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Multi-platform content publishing and management</w:t>
      </w:r>
    </w:p>
    <w:p w:rsidR="00000000" w:rsidDel="00000000" w:rsidP="00000000" w:rsidRDefault="00000000" w:rsidRPr="00000000" w14:paraId="00000016">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Project &amp; Workflow Coordination</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sz w:val="24"/>
          <w:szCs w:val="24"/>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Managing projects from concept through delivery</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sz w:val="24"/>
          <w:szCs w:val="24"/>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Coordinating across teams, clients, and stakeholders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sz w:val="24"/>
          <w:szCs w:val="24"/>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Handling content approvals and revisions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sz w:val="24"/>
          <w:szCs w:val="24"/>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Organizing digital assets and workflows</w:t>
      </w:r>
    </w:p>
    <w:p w:rsidR="00000000" w:rsidDel="00000000" w:rsidP="00000000" w:rsidRDefault="00000000" w:rsidRPr="00000000" w14:paraId="0000001B">
      <w:pPr>
        <w:pStyle w:val="Heading1"/>
        <w:rPr>
          <w:sz w:val="30"/>
          <w:szCs w:val="30"/>
        </w:rPr>
      </w:pPr>
      <w:r w:rsidDel="00000000" w:rsidR="00000000" w:rsidRPr="00000000">
        <w:rPr>
          <w:sz w:val="30"/>
          <w:szCs w:val="30"/>
          <w:rtl w:val="0"/>
        </w:rPr>
        <w:t xml:space="preserve">Digital &amp; Design Services</w:t>
      </w:r>
    </w:p>
    <w:p w:rsidR="00000000" w:rsidDel="00000000" w:rsidP="00000000" w:rsidRDefault="00000000" w:rsidRPr="00000000" w14:paraId="0000001C">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lindapurvis.com</w:t>
      </w:r>
    </w:p>
    <w:p w:rsidR="00000000" w:rsidDel="00000000" w:rsidP="00000000" w:rsidRDefault="00000000" w:rsidRPr="00000000" w14:paraId="0000001D">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Freelance digital media and design services supporting small businesses, nonprofits, and professional clients, including ongoing content support and project-based work. Work includes social media content creation, graphic design for digital and print materials, website content management, email campaign design, and ongoing content production across multiple platforms.</w:t>
      </w:r>
    </w:p>
    <w:p w:rsidR="00000000" w:rsidDel="00000000" w:rsidP="00000000" w:rsidRDefault="00000000" w:rsidRPr="00000000" w14:paraId="0000001E">
      <w:pPr>
        <w:pStyle w:val="Heading1"/>
        <w:rPr>
          <w:sz w:val="30"/>
          <w:szCs w:val="30"/>
        </w:rPr>
      </w:pPr>
      <w:r w:rsidDel="00000000" w:rsidR="00000000" w:rsidRPr="00000000">
        <w:rPr>
          <w:sz w:val="30"/>
          <w:szCs w:val="30"/>
          <w:rtl w:val="0"/>
        </w:rPr>
        <w:t xml:space="preserve">Professional Experience</w:t>
      </w:r>
    </w:p>
    <w:p w:rsidR="00000000" w:rsidDel="00000000" w:rsidP="00000000" w:rsidRDefault="00000000" w:rsidRPr="00000000" w14:paraId="0000001F">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Public Affairs Specialist (Digital Media &amp; Communications)</w:t>
        <w:br w:type="textWrapping"/>
        <w:t xml:space="preserve">U.S. Environmental Protection Agency (EPA), Region 4 | 2022–2026</w:t>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Manage digital communications and social media content for a multi-state federal region. Create graphics, captions, videos, and campaign content across platforms.</w:t>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Coordinate with program teams and subject matter experts to develop accurate content and support ongoing editorial needs. Translate technical environmental information into clear, accessible messaging and manage content workflows, approvals, and deadlines within a complex organization. Support time-sensitive and high-visibility communications while maintaining consistency across platforms.</w:t>
      </w:r>
    </w:p>
    <w:p w:rsidR="00000000" w:rsidDel="00000000" w:rsidP="00000000" w:rsidRDefault="00000000" w:rsidRPr="00000000" w14:paraId="00000022">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Contractor Digital Media Support</w:t>
        <w:br w:type="textWrapping"/>
        <w:t xml:space="preserve">Legal Marketing Maven | 2007–Present</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Serve as the graphic designer for social, print, and digital marketing materials and create visual content for websites, social media, and campaigns.</w:t>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Design branded materials aligned with client identities and maintain consistency across platforms. Manage website updates across multiple CMS systems and support email campaigns through layout and formatting. Handle multiple client accounts, deadlines, and ongoing content updates in a fast-paced environment.</w:t>
      </w:r>
    </w:p>
    <w:p w:rsidR="00000000" w:rsidDel="00000000" w:rsidP="00000000" w:rsidRDefault="00000000" w:rsidRPr="00000000" w14:paraId="00000025">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Biologist, Park Ranger, Communications, Outreach &amp; Program Support</w:t>
        <w:br w:type="textWrapping"/>
        <w:t xml:space="preserve">U.S. Army Corps of Engineers (USACE) | 2014–2022</w:t>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Supported public outreach and communications initiatives and built relationships with community partners and stakeholders.</w:t>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Contributed to social media content, graphics, and visual messaging for lake and recreation projects. Supported outreach campaigns, events, and engagement activities while translating technical information into accessible communication.</w:t>
      </w:r>
    </w:p>
    <w:p w:rsidR="00000000" w:rsidDel="00000000" w:rsidP="00000000" w:rsidRDefault="00000000" w:rsidRPr="00000000" w14:paraId="00000028">
      <w:pPr>
        <w:pStyle w:val="Heading1"/>
        <w:rPr>
          <w:sz w:val="30"/>
          <w:szCs w:val="30"/>
        </w:rPr>
      </w:pPr>
      <w:r w:rsidDel="00000000" w:rsidR="00000000" w:rsidRPr="00000000">
        <w:rPr>
          <w:sz w:val="30"/>
          <w:szCs w:val="30"/>
          <w:rtl w:val="0"/>
        </w:rPr>
        <w:t xml:space="preserve">Education</w:t>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Master of Science, Integrative Biology</w:t>
        <w:br w:type="textWrapping"/>
        <w:t xml:space="preserve">Kennesaw State University</w:t>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Bachelor of Science, Biology (Minor: Chemistry)</w:t>
        <w:br w:type="textWrapping"/>
        <w:t xml:space="preserve">Dalton State College</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BGpQtC+rUboCQyZeMo+fKOZgaA==">CgMxLjA4AHIhMUNJUWVhWTlLVkZXeE9VeUhyRlNpa2pWZUhHSWFHSEVj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